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Informacje dla autorów i autorek o standardzie cytowania MLA 9 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Kwartalnik „Czas Kultury” od rocznika 2024 stosuje system MLA 9th Edition z drobnymi odstępstwami.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Obowiązkiem autora_rki jest przygotowanie artykułu zgodnie z wytycznymi zawartymi w niniejszym pliku; w razie wątpliwości redakcja będzie wspierać autorów w umieszczaniu odniesień w poprawny sposób. Artykuł zawierający inny standard cytowania będzie odsyłany do autora_rki w celu wprowadzenia standardu MLA.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standardzie MLA stosuje się listę prac cytowanych (Works cited), nie bibliografię – oznacza to, że źródła umieszczone w liście, które nie mają odnośników w tekście samego artykułu, powinny zostać usunięte albo należy dodać odnośniki do tych źródeł.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Odnośniki do źródeł w artykule</w:t>
      </w:r>
    </w:p>
    <w:p w:rsidR="00000000" w:rsidDel="00000000" w:rsidP="00000000" w:rsidRDefault="00000000" w:rsidRPr="00000000" w14:paraId="00000008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Odnośnik powinien dotyczyć pierwotnego źródła (nie stosujemy „cyt. za”). </w:t>
      </w:r>
    </w:p>
    <w:p w:rsidR="00000000" w:rsidDel="00000000" w:rsidP="00000000" w:rsidRDefault="00000000" w:rsidRPr="00000000" w14:paraId="0000000A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Typowy odnośnik powinien składać się z nazwiska autora/autorów lub redaktora/redaktorów, organizacji lub instytucji i numeru strony cytowanej pracy bez znaków interpunkcyjnych, w miękkich nawiasach </w:t>
        <w:br w:type="textWrapping"/>
      </w:r>
    </w:p>
    <w:p w:rsidR="00000000" w:rsidDel="00000000" w:rsidP="00000000" w:rsidRDefault="00000000" w:rsidRPr="00000000" w14:paraId="0000000C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jeden autor źródła: (Nowak 85) albo (Senat RP xviii–xix)</w:t>
      </w:r>
    </w:p>
    <w:p w:rsidR="00000000" w:rsidDel="00000000" w:rsidP="00000000" w:rsidRDefault="00000000" w:rsidRPr="00000000" w14:paraId="0000000D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dwóch autorów: (White and White 128–130) </w:t>
      </w:r>
    </w:p>
    <w:p w:rsidR="00000000" w:rsidDel="00000000" w:rsidP="00000000" w:rsidRDefault="00000000" w:rsidRPr="00000000" w14:paraId="0000000E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dla więcej niż dwóch autorów: (</w:t>
      </w:r>
      <w:r w:rsidDel="00000000" w:rsidR="00000000" w:rsidRPr="00000000">
        <w:rPr>
          <w:sz w:val="18"/>
          <w:szCs w:val="18"/>
          <w:rtl w:val="0"/>
        </w:rPr>
        <w:t xml:space="preserve">Ostaszewska et al. 79).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Jeśli lista prac cytowanych zawiera więcej niż jedno źródło tego samego autora_rki, w odnośniku umieszcza się zamiast nazwiska tytuł cytowanej pracy. Tytuły długie, z podtytułami należy skrócić.</w:t>
      </w:r>
    </w:p>
    <w:p w:rsidR="00000000" w:rsidDel="00000000" w:rsidP="00000000" w:rsidRDefault="00000000" w:rsidRPr="00000000" w14:paraId="00000010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Murray stwierdza, że ​​pisanie to „proces”, który „różni się w zależności od naszego stylu myślenia” (</w:t>
      </w:r>
      <w:r w:rsidDel="00000000" w:rsidR="00000000" w:rsidRPr="00000000">
        <w:rPr>
          <w:i w:val="1"/>
          <w:sz w:val="18"/>
          <w:szCs w:val="18"/>
          <w:rtl w:val="0"/>
        </w:rPr>
        <w:t xml:space="preserve">Write to Learn</w:t>
      </w:r>
      <w:r w:rsidDel="00000000" w:rsidR="00000000" w:rsidRPr="00000000">
        <w:rPr>
          <w:sz w:val="18"/>
          <w:szCs w:val="18"/>
          <w:rtl w:val="0"/>
        </w:rPr>
        <w:t xml:space="preserve"> 6</w:t>
      </w:r>
      <w:r w:rsidDel="00000000" w:rsidR="00000000" w:rsidRPr="00000000">
        <w:rPr>
          <w:sz w:val="18"/>
          <w:szCs w:val="18"/>
          <w:rtl w:val="0"/>
        </w:rPr>
        <w:t xml:space="preserve">). Ponadto argumentuje on, że celem pisania jest „przenoszenie pomysłów i informacji z umysłu jednej osoby do umysłu drugiej” (</w:t>
      </w:r>
      <w:r w:rsidDel="00000000" w:rsidR="00000000" w:rsidRPr="00000000">
        <w:rPr>
          <w:i w:val="1"/>
          <w:sz w:val="18"/>
          <w:szCs w:val="18"/>
          <w:rtl w:val="0"/>
        </w:rPr>
        <w:t xml:space="preserve">Writer </w:t>
      </w:r>
      <w:r w:rsidDel="00000000" w:rsidR="00000000" w:rsidRPr="00000000">
        <w:rPr>
          <w:sz w:val="18"/>
          <w:szCs w:val="18"/>
          <w:rtl w:val="0"/>
        </w:rPr>
        <w:t xml:space="preserve">3).</w:t>
      </w:r>
    </w:p>
    <w:p w:rsidR="00000000" w:rsidDel="00000000" w:rsidP="00000000" w:rsidRDefault="00000000" w:rsidRPr="00000000" w14:paraId="00000012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Lista prac cytowanych</w:t>
        <w:br w:type="textWrapping"/>
        <w:t xml:space="preserve">Murray, Donald M. </w:t>
      </w:r>
      <w:r w:rsidDel="00000000" w:rsidR="00000000" w:rsidRPr="00000000">
        <w:rPr>
          <w:i w:val="1"/>
          <w:sz w:val="18"/>
          <w:szCs w:val="18"/>
          <w:rtl w:val="0"/>
        </w:rPr>
        <w:t xml:space="preserve">Write to Learn</w:t>
      </w:r>
      <w:r w:rsidDel="00000000" w:rsidR="00000000" w:rsidRPr="00000000">
        <w:rPr>
          <w:sz w:val="18"/>
          <w:szCs w:val="18"/>
          <w:rtl w:val="0"/>
        </w:rPr>
        <w:t xml:space="preserve">. Cengage Learning, 2004.</w:t>
        <w:br w:type="textWrapping"/>
        <w:t xml:space="preserve">–––. </w:t>
      </w:r>
      <w:r w:rsidDel="00000000" w:rsidR="00000000" w:rsidRPr="00000000">
        <w:rPr>
          <w:i w:val="1"/>
          <w:sz w:val="18"/>
          <w:szCs w:val="18"/>
          <w:rtl w:val="0"/>
        </w:rPr>
        <w:t xml:space="preserve">Writer Teaches Writing</w:t>
      </w:r>
      <w:r w:rsidDel="00000000" w:rsidR="00000000" w:rsidRPr="00000000">
        <w:rPr>
          <w:sz w:val="18"/>
          <w:szCs w:val="18"/>
          <w:rtl w:val="0"/>
        </w:rPr>
        <w:t xml:space="preserve">. Cengage Learning, 2003.</w:t>
      </w:r>
    </w:p>
    <w:p w:rsidR="00000000" w:rsidDel="00000000" w:rsidP="00000000" w:rsidRDefault="00000000" w:rsidRPr="00000000" w14:paraId="00000014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5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Tytułu źródła używamy w odnośniku także wtedy, gdy nie jest znany jego autor.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Jeśli w tym samym zdaniu pada już nazwisko autora cytowanej pracy, w odnośniku wystarczy wstawić wyłącznie numer strony tej pracy, np.</w:t>
      </w:r>
    </w:p>
    <w:p w:rsidR="00000000" w:rsidDel="00000000" w:rsidP="00000000" w:rsidRDefault="00000000" w:rsidRPr="00000000" w14:paraId="00000018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88.18897637795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Słuszna wydaje się diagnoza filozofów politycznych Krystiana Szadkowskiego i Jakuba Krzeskiego, że „Uniwersytet włączony w siły rynku i im poddany, stał się przedmiotem, a nie podmiotem zmian” (555). </w:t>
      </w:r>
    </w:p>
    <w:p w:rsidR="00000000" w:rsidDel="00000000" w:rsidP="00000000" w:rsidRDefault="00000000" w:rsidRPr="00000000" w14:paraId="0000001A">
      <w:pPr>
        <w:ind w:left="1488.188976377953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Wyłącznie numer strony pracy cytowanej wystarczy także podać, gdy była ona cytowana wyżej, w tym samym akapicie.</w:t>
      </w:r>
    </w:p>
    <w:p w:rsidR="00000000" w:rsidDel="00000000" w:rsidP="00000000" w:rsidRDefault="00000000" w:rsidRPr="00000000" w14:paraId="0000001C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88.188976377953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</w:t>
      </w:r>
      <w:r w:rsidDel="00000000" w:rsidR="00000000" w:rsidRPr="00000000">
        <w:rPr>
          <w:i w:val="1"/>
          <w:sz w:val="18"/>
          <w:szCs w:val="18"/>
          <w:rtl w:val="0"/>
        </w:rPr>
        <w:t xml:space="preserve">Justices</w:t>
      </w:r>
      <w:r w:rsidDel="00000000" w:rsidR="00000000" w:rsidRPr="00000000">
        <w:rPr>
          <w:sz w:val="18"/>
          <w:szCs w:val="18"/>
          <w:rtl w:val="0"/>
        </w:rPr>
        <w:t xml:space="preserve">, medytując nad twórczością Gerarda Manleya Hopkinsa, Derrida ponownie podejmuje temat jednostkowości. Nawiązuje on do niemożliwości wyrażenia tego, co unikatowe – tak, jakby wszystko było podporządkowane „prawu wyjątku” (</w:t>
      </w:r>
      <w:r w:rsidDel="00000000" w:rsidR="00000000" w:rsidRPr="00000000">
        <w:rPr>
          <w:i w:val="1"/>
          <w:sz w:val="18"/>
          <w:szCs w:val="18"/>
          <w:rtl w:val="0"/>
        </w:rPr>
        <w:t xml:space="preserve">Justices</w:t>
      </w:r>
      <w:r w:rsidDel="00000000" w:rsidR="00000000" w:rsidRPr="00000000">
        <w:rPr>
          <w:sz w:val="18"/>
          <w:szCs w:val="18"/>
          <w:rtl w:val="0"/>
        </w:rPr>
        <w:t xml:space="preserve"> 42). Opisując sytuację, w której „jednostkowość wykracza poza ogólność języka” (36) i „wymawia siebie, lecz wymawia siebie jako »niewymawialne«”, francuski myśliciel stwierdza: „Dziwne i queer jest tutaj to, że wszystko powraca do doświadczenia i, w słowach samego Hopkinsa, do pewnej teorii queer, jeśli nie niemożliwej osobliwości queer theory” (37). </w:t>
      </w:r>
    </w:p>
    <w:p w:rsidR="00000000" w:rsidDel="00000000" w:rsidP="00000000" w:rsidRDefault="00000000" w:rsidRPr="00000000" w14:paraId="0000001E">
      <w:pPr>
        <w:ind w:left="1488.188976377953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Jeśli źródło zawiera numerację używaną zamiast stron (np. rozdziały = ch., wersy = w., paragrafy = par.) lub ma formę cyfrową (film, odcinek serialu, nagranie audio lub wideo), należy podać skrót odnoszący się do oznaczenia lub zapis czasowy, np.  </w:t>
      </w:r>
    </w:p>
    <w:p w:rsidR="00000000" w:rsidDel="00000000" w:rsidP="00000000" w:rsidRDefault="00000000" w:rsidRPr="00000000" w14:paraId="00000020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księdze IX </w:t>
      </w:r>
      <w:r w:rsidDel="00000000" w:rsidR="00000000" w:rsidRPr="00000000">
        <w:rPr>
          <w:i w:val="1"/>
          <w:sz w:val="18"/>
          <w:szCs w:val="18"/>
          <w:rtl w:val="0"/>
        </w:rPr>
        <w:t xml:space="preserve">Odysei</w:t>
      </w:r>
      <w:r w:rsidDel="00000000" w:rsidR="00000000" w:rsidRPr="00000000">
        <w:rPr>
          <w:sz w:val="18"/>
          <w:szCs w:val="18"/>
          <w:rtl w:val="0"/>
        </w:rPr>
        <w:t xml:space="preserve"> (w. 5-7) Odyseusz, przebywając jako gość w pałacu Alkinoosa, wygłasza pochwałę uczty oraz muzyki, której miał okazję wysłuchać w jej trakcie.</w:t>
      </w:r>
    </w:p>
    <w:p w:rsidR="00000000" w:rsidDel="00000000" w:rsidP="00000000" w:rsidRDefault="00000000" w:rsidRPr="00000000" w14:paraId="00000022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„już czuć, że miasto przygotowuje się do wywłaszczenia / WYWŁASZCZENIA / To nasz głos,</w:t>
      </w:r>
    </w:p>
    <w:p w:rsidR="00000000" w:rsidDel="00000000" w:rsidP="00000000" w:rsidRDefault="00000000" w:rsidRPr="00000000" w14:paraId="00000024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usłysz go głośno i wyraźnie, / to jest nasze miasto, / tak, pozostanie tanie i queerowe!” (“Feels Like the City’s Getting Ready” 00:15-40).</w:t>
      </w:r>
    </w:p>
    <w:p w:rsidR="00000000" w:rsidDel="00000000" w:rsidP="00000000" w:rsidRDefault="00000000" w:rsidRPr="00000000" w14:paraId="00000025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Jeśli przytacza się kilka źródeł, należy oddzielić je średnikiem </w:t>
      </w:r>
    </w:p>
    <w:p w:rsidR="00000000" w:rsidDel="00000000" w:rsidP="00000000" w:rsidRDefault="00000000" w:rsidRPr="00000000" w14:paraId="00000027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(Bauman 159; Podemski 36). </w:t>
      </w:r>
    </w:p>
    <w:p w:rsidR="00000000" w:rsidDel="00000000" w:rsidP="00000000" w:rsidRDefault="00000000" w:rsidRPr="00000000" w14:paraId="00000029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Różne lokacje tego samego źródła w tym samym odnośniku oddziela się przecinkiem </w:t>
      </w:r>
    </w:p>
    <w:p w:rsidR="00000000" w:rsidDel="00000000" w:rsidP="00000000" w:rsidRDefault="00000000" w:rsidRPr="00000000" w14:paraId="0000002B">
      <w:pPr>
        <w:ind w:left="0"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(Parandowski 26, 59–60, 184)</w:t>
      </w:r>
    </w:p>
    <w:p w:rsidR="00000000" w:rsidDel="00000000" w:rsidP="00000000" w:rsidRDefault="00000000" w:rsidRPr="00000000" w14:paraId="0000002D">
      <w:pPr>
        <w:ind w:left="720"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5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Jeśli w liście prac są prace różnych autorów o tym samym nazwisku, w odnośnikach podajemy także </w:t>
      </w:r>
    </w:p>
    <w:p w:rsidR="00000000" w:rsidDel="00000000" w:rsidP="00000000" w:rsidRDefault="00000000" w:rsidRPr="00000000" w14:paraId="0000002F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inicjał imienia, np. (J. Kornhauser 122).</w:t>
      </w:r>
    </w:p>
    <w:p w:rsidR="00000000" w:rsidDel="00000000" w:rsidP="00000000" w:rsidRDefault="00000000" w:rsidRPr="00000000" w14:paraId="00000030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Tworzenie listy prac cytowanych</w:t>
      </w:r>
    </w:p>
    <w:p w:rsidR="00000000" w:rsidDel="00000000" w:rsidP="00000000" w:rsidRDefault="00000000" w:rsidRPr="00000000" w14:paraId="00000032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Lista powinna być uporządkowana alfabetycznie bez rozróżnienia na książki, periodyki, źródła elektroniczne itd. W przypadku braku autora źródła należy uporządkować wg tytułu.</w:t>
      </w:r>
    </w:p>
    <w:p w:rsidR="00000000" w:rsidDel="00000000" w:rsidP="00000000" w:rsidRDefault="00000000" w:rsidRPr="00000000" w14:paraId="00000034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Należy posługiwać się ogólnym schematem: </w:t>
      </w:r>
    </w:p>
    <w:p w:rsidR="00000000" w:rsidDel="00000000" w:rsidP="00000000" w:rsidRDefault="00000000" w:rsidRPr="00000000" w14:paraId="00000036">
      <w:pPr>
        <w:ind w:left="0"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Autor. Tytuł. Współtwórcy, Wydanie lub Wersja, Numer, Wydawca, Data Publikacji, Lokacja. </w:t>
      </w:r>
    </w:p>
    <w:p w:rsidR="00000000" w:rsidDel="00000000" w:rsidP="00000000" w:rsidRDefault="00000000" w:rsidRPr="00000000" w14:paraId="00000037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5445"/>
        <w:tblGridChange w:id="0">
          <w:tblGrid>
            <w:gridCol w:w="3570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Autor. = nazwisko, imię lub pseudonim, nazwa organizacji, instytucji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Mackay, Fiona.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Tytuł.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“Dilemmas of an Academic Feminist as Manager in the Neoliberal Academy: Negotiating Institutional Authority, Oppositional Knowledge and Change”.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Współtwórcy, = tłumacze, redaktorzy, autorzy przedmowy lub posłowia, wykonawcy (np. utworów muzycznych, spektakli), współautorzy (scenariusza, słów piosenki itp.)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Tytuł zasobu, (np. czasopismo, dzieło zbiorowe, portal internetowy)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Political Studies Review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Wydanie lub Wersja, = np. numer tomu, wersja Kindle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vol. 19,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Numer,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no. 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Wydawca, = wyłącznie dla książek, filmów, seriali, gier komputerowych (producent) itp.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 Publikacji, - rok, data dzienna, możliwie jak najdokładniejsza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Feb. 2021,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Lokacja. = zakres stron, także adres www (preferowany adres DOI, jeśli istnieje)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pp. 75–95, https://doi.org/10.1177/1478929920958306.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Książka jednego, dwóch lub więcej autorów: </w:t>
      </w:r>
    </w:p>
    <w:p w:rsidR="00000000" w:rsidDel="00000000" w:rsidP="00000000" w:rsidRDefault="00000000" w:rsidRPr="00000000" w14:paraId="0000004C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hanging="11.33858267716533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Peponi, Anastasia-Erasmia. </w:t>
      </w:r>
      <w:r w:rsidDel="00000000" w:rsidR="00000000" w:rsidRPr="00000000">
        <w:rPr>
          <w:i w:val="1"/>
          <w:sz w:val="18"/>
          <w:szCs w:val="18"/>
          <w:rtl w:val="0"/>
        </w:rPr>
        <w:t xml:space="preserve">Frontiers of Pleasure: Models of Aesthetic Response in Archaic and Classical Greek Thought</w:t>
      </w:r>
      <w:r w:rsidDel="00000000" w:rsidR="00000000" w:rsidRPr="00000000">
        <w:rPr>
          <w:sz w:val="18"/>
          <w:szCs w:val="18"/>
          <w:rtl w:val="0"/>
        </w:rPr>
        <w:t xml:space="preserve">. Oxford University Press, 2012.</w:t>
      </w:r>
    </w:p>
    <w:p w:rsidR="00000000" w:rsidDel="00000000" w:rsidP="00000000" w:rsidRDefault="00000000" w:rsidRPr="00000000" w14:paraId="0000004E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Latour, Bruno, and Steve Woolgar. </w:t>
      </w:r>
      <w:r w:rsidDel="00000000" w:rsidR="00000000" w:rsidRPr="00000000">
        <w:rPr>
          <w:i w:val="1"/>
          <w:sz w:val="18"/>
          <w:szCs w:val="18"/>
          <w:rtl w:val="0"/>
        </w:rPr>
        <w:t xml:space="preserve">Życie laboratoryjne. Konstruowanie faktów naukowych</w:t>
      </w:r>
      <w:r w:rsidDel="00000000" w:rsidR="00000000" w:rsidRPr="00000000">
        <w:rPr>
          <w:sz w:val="18"/>
          <w:szCs w:val="18"/>
          <w:rtl w:val="0"/>
        </w:rPr>
        <w:t xml:space="preserve">. Translated by Krzysztof Abriszewski et al., Narodowe Centrum Kultury, 2020. </w:t>
      </w:r>
    </w:p>
    <w:p w:rsidR="00000000" w:rsidDel="00000000" w:rsidP="00000000" w:rsidRDefault="00000000" w:rsidRPr="00000000" w14:paraId="00000050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Rose, Deborah Bird, et al., editors. </w:t>
      </w:r>
      <w:r w:rsidDel="00000000" w:rsidR="00000000" w:rsidRPr="00000000">
        <w:rPr>
          <w:i w:val="1"/>
          <w:sz w:val="18"/>
          <w:szCs w:val="18"/>
          <w:rtl w:val="0"/>
        </w:rPr>
        <w:t xml:space="preserve">Extinction studies. Stories of Time, Death and Generations</w:t>
      </w:r>
      <w:r w:rsidDel="00000000" w:rsidR="00000000" w:rsidRPr="00000000">
        <w:rPr>
          <w:sz w:val="18"/>
          <w:szCs w:val="18"/>
          <w:rtl w:val="0"/>
        </w:rPr>
        <w:t xml:space="preserve">. Columbia University Press, 2017.</w:t>
      </w:r>
    </w:p>
    <w:p w:rsidR="00000000" w:rsidDel="00000000" w:rsidP="00000000" w:rsidRDefault="00000000" w:rsidRPr="00000000" w14:paraId="00000052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4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Esej, artykuł, rozmowa, opowiadanie, wiersz będące częścią większej całości (tomu, pracy zbiorowej itp.)</w:t>
      </w:r>
    </w:p>
    <w:p w:rsidR="00000000" w:rsidDel="00000000" w:rsidP="00000000" w:rsidRDefault="00000000" w:rsidRPr="00000000" w14:paraId="00000054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Hatley, James, “Walking with Ōkami, the Large-Mouthed Pure God”.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Extinction Studies. Stories of Time, Death and Generations</w:t>
      </w:r>
      <w:r w:rsidDel="00000000" w:rsidR="00000000" w:rsidRPr="00000000">
        <w:rPr>
          <w:sz w:val="18"/>
          <w:szCs w:val="18"/>
          <w:rtl w:val="0"/>
        </w:rPr>
        <w:t xml:space="preserve">, edited by Deborah Bird Rose et al., Columbia University Press, 2017, pp. 19–46.</w:t>
      </w:r>
    </w:p>
    <w:p w:rsidR="00000000" w:rsidDel="00000000" w:rsidP="00000000" w:rsidRDefault="00000000" w:rsidRPr="00000000" w14:paraId="00000056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Tkaczyszyn-Dycki, Eugeniusz. “XXVIII. Przyjazd z Pozezdrza”.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Nie dam ci siebie w żadnej postaci</w:t>
      </w:r>
      <w:r w:rsidDel="00000000" w:rsidR="00000000" w:rsidRPr="00000000">
        <w:rPr>
          <w:sz w:val="18"/>
          <w:szCs w:val="18"/>
          <w:rtl w:val="0"/>
        </w:rPr>
        <w:t xml:space="preserve">, Lokator Media, 2016, p. 30. </w:t>
      </w:r>
    </w:p>
    <w:p w:rsidR="00000000" w:rsidDel="00000000" w:rsidP="00000000" w:rsidRDefault="00000000" w:rsidRPr="00000000" w14:paraId="00000058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Artykuł w czasopiśmie</w:t>
      </w:r>
    </w:p>
    <w:p w:rsidR="00000000" w:rsidDel="00000000" w:rsidP="00000000" w:rsidRDefault="00000000" w:rsidRPr="00000000" w14:paraId="0000005A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Majewska, Ewa. “Słaby opór. obraz, wspólnota i utopia poza paradygmatem heroicznym”.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Praktyka Teoretyczna</w:t>
      </w:r>
      <w:r w:rsidDel="00000000" w:rsidR="00000000" w:rsidRPr="00000000">
        <w:rPr>
          <w:sz w:val="18"/>
          <w:szCs w:val="18"/>
          <w:rtl w:val="0"/>
        </w:rPr>
        <w:t xml:space="preserve">, vol. 32, no. 2, pp. 7–20, </w:t>
      </w:r>
      <w:r w:rsidDel="00000000" w:rsidR="00000000" w:rsidRPr="00000000">
        <w:rPr>
          <w:sz w:val="18"/>
          <w:szCs w:val="18"/>
          <w:rtl w:val="0"/>
        </w:rPr>
        <w:t xml:space="preserve">https://doi.org/10.14746/prt.2019.2.0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C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Steyerl, Hito. “In Defense of the Poor Image”.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e-flux journal</w:t>
      </w:r>
      <w:r w:rsidDel="00000000" w:rsidR="00000000" w:rsidRPr="00000000">
        <w:rPr>
          <w:sz w:val="18"/>
          <w:szCs w:val="18"/>
          <w:rtl w:val="0"/>
        </w:rPr>
        <w:t xml:space="preserve">, no. 10, 2009, https://www.e-flux.com/journal/10/61362/in-defense-of-the-poor-image/. </w:t>
      </w:r>
    </w:p>
    <w:p w:rsidR="00000000" w:rsidDel="00000000" w:rsidP="00000000" w:rsidRDefault="00000000" w:rsidRPr="00000000" w14:paraId="0000005E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Rozmowa opublikowana lub osobista i prowadzona drogą e-mailową</w:t>
      </w:r>
    </w:p>
    <w:p w:rsidR="00000000" w:rsidDel="00000000" w:rsidP="00000000" w:rsidRDefault="00000000" w:rsidRPr="00000000" w14:paraId="00000060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Kopyt, Szczepan. Interview by Joanna B. Bednarek. “Literatura niszczy uzurpacje”.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CzasKultury.pl</w:t>
      </w:r>
      <w:r w:rsidDel="00000000" w:rsidR="00000000" w:rsidRPr="00000000">
        <w:rPr>
          <w:sz w:val="18"/>
          <w:szCs w:val="18"/>
          <w:rtl w:val="0"/>
        </w:rPr>
        <w:t xml:space="preserve">, no. 9, 28 kwietnia 2018, http://czaskultury.pl/czytanki/literatura-niszczy-uzurpacje/.  </w:t>
      </w:r>
    </w:p>
    <w:p w:rsidR="00000000" w:rsidDel="00000000" w:rsidP="00000000" w:rsidRDefault="00000000" w:rsidRPr="00000000" w14:paraId="00000062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Obama, Michelle. Interview by Oprah Winfrey. “Oprah Talks to Michelle Obama”.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O, The Oprah Magazine</w:t>
      </w:r>
      <w:r w:rsidDel="00000000" w:rsidR="00000000" w:rsidRPr="00000000">
        <w:rPr>
          <w:sz w:val="18"/>
          <w:szCs w:val="18"/>
          <w:rtl w:val="0"/>
        </w:rPr>
        <w:t xml:space="preserve">, Apr. 2009, pp. 116–125.</w:t>
      </w:r>
    </w:p>
    <w:p w:rsidR="00000000" w:rsidDel="00000000" w:rsidP="00000000" w:rsidRDefault="00000000" w:rsidRPr="00000000" w14:paraId="00000064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Smith, Jane. Personal interview. 19 May 2014. </w:t>
      </w:r>
    </w:p>
    <w:p w:rsidR="00000000" w:rsidDel="00000000" w:rsidP="00000000" w:rsidRDefault="00000000" w:rsidRPr="00000000" w14:paraId="00000066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Rudnicka, Zyta. "Re: Wywiad". Received by Jan Kowalski, 20 maja 2023. Email interview.</w:t>
      </w:r>
    </w:p>
    <w:p w:rsidR="00000000" w:rsidDel="00000000" w:rsidP="00000000" w:rsidRDefault="00000000" w:rsidRPr="00000000" w14:paraId="00000068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Post lub artykuł na stronie internetowej, w social mediach, na forum itp.</w:t>
      </w:r>
    </w:p>
    <w:p w:rsidR="00000000" w:rsidDel="00000000" w:rsidP="00000000" w:rsidRDefault="00000000" w:rsidRPr="00000000" w14:paraId="0000006A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Żytnicki, Piotr. “To był spokojny Marsz Równości”.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Archiwum „Gazety Wyborczej”</w:t>
      </w:r>
      <w:r w:rsidDel="00000000" w:rsidR="00000000" w:rsidRPr="00000000">
        <w:rPr>
          <w:sz w:val="18"/>
          <w:szCs w:val="18"/>
          <w:rtl w:val="0"/>
        </w:rPr>
        <w:t xml:space="preserve">, 16 listopada </w:t>
      </w:r>
    </w:p>
    <w:p w:rsidR="00000000" w:rsidDel="00000000" w:rsidP="00000000" w:rsidRDefault="00000000" w:rsidRPr="00000000" w14:paraId="0000006C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2009, http://www.archiwum.wyborcza.pl/Archiwum/0,0.html#TRNavSST. </w:t>
      </w:r>
    </w:p>
    <w:p w:rsidR="00000000" w:rsidDel="00000000" w:rsidP="00000000" w:rsidRDefault="00000000" w:rsidRPr="00000000" w14:paraId="0000006D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Iwasiów, Inga. “Drogie, drodzy, już w ten weekend…”.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Facebook</w:t>
      </w:r>
      <w:r w:rsidDel="00000000" w:rsidR="00000000" w:rsidRPr="00000000">
        <w:rPr>
          <w:sz w:val="18"/>
          <w:szCs w:val="18"/>
          <w:rtl w:val="0"/>
        </w:rPr>
        <w:t xml:space="preserve">, 29 sierpnia 2023, https://www.facebook.com/inga.iwasiow.5/posts/pfbid025K5sBsij9kEKRaVsTGUb6hxqbEXx69mfexZUpWdHBVrC3W5AtXAfTp7NDa8JppY4l.</w:t>
      </w:r>
    </w:p>
    <w:p w:rsidR="00000000" w:rsidDel="00000000" w:rsidP="00000000" w:rsidRDefault="00000000" w:rsidRPr="00000000" w14:paraId="0000006F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ponika. Comment on “Obcy: gra fabularna”.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GryPlanszowe.pl</w:t>
      </w:r>
      <w:r w:rsidDel="00000000" w:rsidR="00000000" w:rsidRPr="00000000">
        <w:rPr>
          <w:sz w:val="18"/>
          <w:szCs w:val="18"/>
          <w:rtl w:val="0"/>
        </w:rPr>
        <w:t xml:space="preserve">, 29 lipca 2023, 9:17, </w:t>
      </w:r>
      <w:r w:rsidDel="00000000" w:rsidR="00000000" w:rsidRPr="00000000">
        <w:rPr>
          <w:sz w:val="18"/>
          <w:szCs w:val="18"/>
          <w:rtl w:val="0"/>
        </w:rPr>
        <w:t xml:space="preserve">https://www.gry-planszowe.pl/viewtopic.php?p=1583396#p1583396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1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Prezentacja, wykład:</w:t>
      </w:r>
    </w:p>
    <w:p w:rsidR="00000000" w:rsidDel="00000000" w:rsidP="00000000" w:rsidRDefault="00000000" w:rsidRPr="00000000" w14:paraId="00000073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Stein, Bob. “Reading and Writing in the Digital Era”. Discovering Digital Dimensions, Computers and Writing Conference, 23 May 2003, Union Club Hotel, West Lafayette, IN.</w:t>
      </w:r>
    </w:p>
    <w:p w:rsidR="00000000" w:rsidDel="00000000" w:rsidP="00000000" w:rsidRDefault="00000000" w:rsidRPr="00000000" w14:paraId="00000075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Film, wideo, odcinek serialu, piosenka, dzieło sztuki itp. </w:t>
      </w:r>
    </w:p>
    <w:p w:rsidR="00000000" w:rsidDel="00000000" w:rsidP="00000000" w:rsidRDefault="00000000" w:rsidRPr="00000000" w14:paraId="00000077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440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Little Miss Sunshine</w:t>
      </w:r>
      <w:r w:rsidDel="00000000" w:rsidR="00000000" w:rsidRPr="00000000">
        <w:rPr>
          <w:sz w:val="18"/>
          <w:szCs w:val="18"/>
          <w:rtl w:val="0"/>
        </w:rPr>
        <w:t xml:space="preserve">. Directed by Jonathan Dayton and Valerie Faris. Fox Searchlight, 2006. </w:t>
      </w:r>
    </w:p>
    <w:p w:rsidR="00000000" w:rsidDel="00000000" w:rsidP="00000000" w:rsidRDefault="00000000" w:rsidRPr="00000000" w14:paraId="00000079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“Hush”.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Buffy the Vampire Slayer</w:t>
      </w:r>
      <w:r w:rsidDel="00000000" w:rsidR="00000000" w:rsidRPr="00000000">
        <w:rPr>
          <w:sz w:val="18"/>
          <w:szCs w:val="18"/>
          <w:rtl w:val="0"/>
        </w:rPr>
        <w:t xml:space="preserve">, created by Joss Whedon, season 4, episode 10, Mutant Enemy, 1999. </w:t>
      </w:r>
    </w:p>
    <w:p w:rsidR="00000000" w:rsidDel="00000000" w:rsidP="00000000" w:rsidRDefault="00000000" w:rsidRPr="00000000" w14:paraId="0000007B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“Thirsty Bird”.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Orange Is the New Black</w:t>
      </w:r>
      <w:r w:rsidDel="00000000" w:rsidR="00000000" w:rsidRPr="00000000">
        <w:rPr>
          <w:sz w:val="18"/>
          <w:szCs w:val="18"/>
          <w:rtl w:val="0"/>
        </w:rPr>
        <w:t xml:space="preserve">, created by Jenji Kohan, Netflix, season 2, episode 1, Netflix, 6 Jun. 2014, https://www.netflix.com/watch/70296528.  </w:t>
      </w:r>
    </w:p>
    <w:p w:rsidR="00000000" w:rsidDel="00000000" w:rsidP="00000000" w:rsidRDefault="00000000" w:rsidRPr="00000000" w14:paraId="0000007D">
      <w:pPr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44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Beyoncé. “Pretty Hurts”. </w:t>
      </w:r>
      <w:r w:rsidDel="00000000" w:rsidR="00000000" w:rsidRPr="00000000">
        <w:rPr>
          <w:i w:val="1"/>
          <w:sz w:val="18"/>
          <w:szCs w:val="18"/>
          <w:rtl w:val="0"/>
        </w:rPr>
        <w:t xml:space="preserve">Beyoncé</w:t>
      </w:r>
      <w:r w:rsidDel="00000000" w:rsidR="00000000" w:rsidRPr="00000000">
        <w:rPr>
          <w:sz w:val="18"/>
          <w:szCs w:val="18"/>
          <w:rtl w:val="0"/>
        </w:rPr>
        <w:t xml:space="preserve">, Parkwood Entertainment, 2013. </w:t>
      </w:r>
    </w:p>
    <w:p w:rsidR="00000000" w:rsidDel="00000000" w:rsidP="00000000" w:rsidRDefault="00000000" w:rsidRPr="00000000" w14:paraId="0000007F">
      <w:pPr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